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/>
          <w:sz w:val="32"/>
          <w:szCs w:val="32"/>
        </w:rPr>
        <w:t>（3）</w:t>
      </w:r>
    </w:p>
    <w:p>
      <w:pPr>
        <w:rPr>
          <w:rFonts w:ascii="Times New Roman" w:hAnsi="Times New Roman"/>
        </w:rPr>
      </w:pPr>
      <w:bookmarkStart w:id="0" w:name="_GoBack"/>
      <w:bookmarkEnd w:id="0"/>
    </w:p>
    <w:p>
      <w:pPr>
        <w:rPr>
          <w:rFonts w:ascii="Times New Roman" w:hAnsi="Times New Roman"/>
        </w:rPr>
      </w:pPr>
    </w:p>
    <w:p>
      <w:pPr>
        <w:rPr>
          <w:rFonts w:hint="default" w:ascii="Times New Roman" w:hAnsi="Times New Roman"/>
          <w:b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after="312" w:afterLines="10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2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20"/>
          <w:sz w:val="52"/>
          <w:szCs w:val="52"/>
        </w:rPr>
        <w:t>非油气采矿权</w:t>
      </w:r>
    </w:p>
    <w:p>
      <w:pPr>
        <w:outlineLvl w:val="0"/>
        <w:rPr>
          <w:rFonts w:ascii="Times New Roman" w:hAnsi="Times New Roman"/>
          <w:szCs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180" w:lineRule="auto"/>
              <w:jc w:val="right"/>
              <w:outlineLvl w:val="0"/>
              <w:rPr>
                <w:rFonts w:ascii="Times New Roman" w:hAnsi="Times New Roman"/>
                <w:b/>
                <w:position w:val="-28"/>
                <w:sz w:val="36"/>
                <w:szCs w:val="24"/>
              </w:rPr>
            </w:pPr>
            <w:r>
              <w:rPr>
                <w:rFonts w:hint="default" w:ascii="Times New Roman" w:hAnsi="Times New Roman"/>
                <w:b/>
                <w:position w:val="-27"/>
                <w:sz w:val="36"/>
                <w:szCs w:val="24"/>
                <w:u w:val="single"/>
              </w:rPr>
              <w:t>变更</w:t>
            </w:r>
          </w:p>
        </w:tc>
        <w:tc>
          <w:tcPr>
            <w:tcW w:w="6425" w:type="dxa"/>
            <w:vMerge w:val="restart"/>
            <w:noWrap w:val="0"/>
            <w:vAlign w:val="center"/>
          </w:tcPr>
          <w:p>
            <w:pPr>
              <w:spacing w:line="180" w:lineRule="auto"/>
              <w:jc w:val="left"/>
              <w:outlineLvl w:val="0"/>
              <w:rPr>
                <w:rFonts w:ascii="Times New Roman" w:hAnsi="Times New Roman"/>
                <w:b/>
                <w:position w:val="-28"/>
                <w:sz w:val="8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100"/>
                <w:position w:val="-4"/>
                <w:sz w:val="84"/>
                <w:szCs w:val="24"/>
              </w:rPr>
              <w:t>申请登记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70"/>
                <w:position w:val="-4"/>
                <w:sz w:val="84"/>
                <w:szCs w:val="24"/>
              </w:rPr>
              <w:t>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180" w:lineRule="auto"/>
              <w:jc w:val="right"/>
              <w:outlineLvl w:val="0"/>
              <w:rPr>
                <w:rFonts w:ascii="Times New Roman" w:hAnsi="Times New Roman"/>
                <w:b/>
                <w:position w:val="-28"/>
                <w:sz w:val="36"/>
                <w:szCs w:val="24"/>
                <w:u w:val="single"/>
              </w:rPr>
            </w:pPr>
            <w:r>
              <w:rPr>
                <w:rFonts w:hint="default" w:ascii="Times New Roman" w:hAnsi="Times New Roman"/>
                <w:b/>
                <w:position w:val="-28"/>
                <w:sz w:val="36"/>
                <w:szCs w:val="24"/>
              </w:rPr>
              <w:t>延续</w:t>
            </w:r>
          </w:p>
        </w:tc>
        <w:tc>
          <w:tcPr>
            <w:tcW w:w="6425" w:type="dxa"/>
            <w:vMerge w:val="continue"/>
            <w:noWrap w:val="0"/>
            <w:vAlign w:val="center"/>
          </w:tcPr>
          <w:p>
            <w:pPr>
              <w:spacing w:line="180" w:lineRule="auto"/>
              <w:jc w:val="left"/>
              <w:outlineLvl w:val="0"/>
              <w:rPr>
                <w:rFonts w:ascii="Times New Roman" w:hAnsi="Times New Roman"/>
                <w:b/>
                <w:spacing w:val="100"/>
                <w:position w:val="-4"/>
                <w:sz w:val="96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黑体"/>
          <w:b/>
          <w:bCs/>
          <w:sz w:val="72"/>
        </w:rPr>
      </w:pPr>
    </w:p>
    <w:p>
      <w:pPr>
        <w:rPr>
          <w:rFonts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hint="default" w:ascii="Times New Roman" w:hAnsi="Times New Roman" w:eastAsia="黑体"/>
          <w:sz w:val="72"/>
        </w:rPr>
      </w:pPr>
    </w:p>
    <w:p>
      <w:pPr>
        <w:rPr>
          <w:rFonts w:ascii="Times New Roman" w:hAnsi="Times New Roman" w:eastAsia="黑体"/>
          <w:sz w:val="72"/>
        </w:rPr>
      </w:pP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40"/>
          <w:sz w:val="32"/>
          <w:szCs w:val="32"/>
        </w:rPr>
        <w:t>采矿权申请人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（签章）</w:t>
      </w: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矿  山  名  称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spacing w:val="1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10"/>
          <w:sz w:val="32"/>
          <w:szCs w:val="32"/>
        </w:rPr>
        <w:t xml:space="preserve">原采矿许可证号 </w:t>
      </w:r>
      <w:r>
        <w:rPr>
          <w:rFonts w:hint="eastAsia" w:ascii="仿宋_GB2312" w:hAnsi="仿宋_GB2312" w:eastAsia="仿宋_GB2312" w:cs="仿宋_GB2312"/>
          <w:b/>
          <w:spacing w:val="10"/>
          <w:sz w:val="32"/>
          <w:szCs w:val="32"/>
          <w:u w:val="single"/>
        </w:rPr>
        <w:t xml:space="preserve">                              </w:t>
      </w:r>
    </w:p>
    <w:p>
      <w:pPr>
        <w:spacing w:line="360" w:lineRule="auto"/>
        <w:ind w:firstLine="397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填  表  时  间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   </w:t>
      </w:r>
    </w:p>
    <w:p>
      <w:pPr>
        <w:jc w:val="center"/>
        <w:rPr>
          <w:rFonts w:ascii="Times New Roman" w:hAnsi="Times New Roman"/>
          <w:b/>
          <w:bCs/>
          <w:sz w:val="28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/>
          <w:sz w:val="36"/>
          <w:szCs w:val="36"/>
        </w:rPr>
      </w:pPr>
      <w:r>
        <w:rPr>
          <w:rFonts w:hint="default" w:ascii="Times New Roman" w:hAnsi="Times New Roman"/>
          <w:sz w:val="36"/>
          <w:szCs w:val="36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采矿权申请人：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填写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取得采矿权的法人单位。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矿山名称：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采矿权申请人全称+所开办矿山的名称。如：淮北矿务局申请取得许疃煤矿的采矿权，矿山名称为：淮北矿务局许疃煤矿。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经济类型：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企业法人根据营业执照证载的类型填写。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地址：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采矿权申请人注册地址填写。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开采主矿种：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申请开采的主矿种。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共伴生矿种：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申请开采的其它矿种。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生产规模：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按核定的生产能力填写。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总资源量：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开采主矿种保有储量的综合评价数值。单位与该矿种设计规模的矿产单位相关</w:t>
      </w:r>
      <w:r>
        <w:rPr>
          <w:rFonts w:hint="default" w:ascii="Times New Roman" w:hAnsi="Times New Roman" w:eastAsia="仿宋_GB2312" w:cs="Times New Roman"/>
          <w:sz w:val="30"/>
          <w:szCs w:val="30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如“煤”为万吨。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开采方式：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地下开采或露天开采。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10.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原采矿权有效期限：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填写自×年×月×日至×年×月×日。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采矿权取得方式：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填写取得采矿权的方式，分为探矿权转采矿权、协议出让、招标、拍卖、挂牌、</w:t>
      </w:r>
      <w:r>
        <w:rPr>
          <w:rFonts w:hint="default" w:ascii="Times New Roman" w:hAnsi="Times New Roman" w:eastAsia="仿宋_GB2312" w:cs="Times New Roman"/>
          <w:spacing w:val="2"/>
          <w:sz w:val="30"/>
          <w:szCs w:val="30"/>
          <w:shd w:val="clear" w:color="auto" w:fill="FFFFFF"/>
        </w:rPr>
        <w:t>转让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12.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矿业权出让收益（价款）处置方式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：自然资源主管部门批准或合同约定的处置方式，如按金额一次性缴纳、按金额分期缴纳、按出让收益率缴纳、按金额和出让收益率缴纳、转增国家资本金等。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应缴纳采矿权出让收益（价款）：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金额一次性或分期缴纳的，填写合同约定的总金额；按出让收益率或金额和出让收益率缴纳的，填写截至填表时应缴纳的总金额。涉及转增国家资本金的，需包含已完成转增的金额。涉及多次缴纳矿业权出让收益（价款）的，需包括过往应缴总金额。不填写滞纳金、资金占用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变更内容及原因：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根据本企业的具体情况，具体填写申请变更的内容如扩大矿区范围、缩小矿区范围、变更开采主矿种、变更开采方式、变更采矿权人名称、采矿权转让变更等，并简要说明变更原因。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15.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保有资源储量：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填写申请变更时矿山保有的资源储量数据。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16.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矿山地质环境保护与土地复垦：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涉及扩大矿区范围、变更开采方式及扩大开采规模的，填写方案名称、公告部门及时间，方案服务年限，是否按照方案履行矿山地质环境保护与土地复垦义务，是否按照规定计提矿山地质环境治理恢复基金。不涉及以上三种变更情况的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无须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填写相关内容。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17.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矿区范围图及坐标：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以国家直角坐标填写矿区范围拐点坐标。并注明（1）共有多少拐点圈定；（2）开采深度的起止标高。</w:t>
      </w:r>
    </w:p>
    <w:p>
      <w:pPr>
        <w:spacing w:line="360" w:lineRule="auto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br w:type="page"/>
      </w:r>
    </w:p>
    <w:tbl>
      <w:tblPr>
        <w:tblStyle w:val="4"/>
        <w:tblW w:w="90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336"/>
        <w:gridCol w:w="1166"/>
        <w:gridCol w:w="1295"/>
        <w:gridCol w:w="866"/>
        <w:gridCol w:w="285"/>
        <w:gridCol w:w="454"/>
        <w:gridCol w:w="1132"/>
        <w:gridCol w:w="49"/>
        <w:gridCol w:w="384"/>
        <w:gridCol w:w="25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请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人</w:t>
            </w:r>
          </w:p>
        </w:tc>
        <w:tc>
          <w:tcPr>
            <w:tcW w:w="394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4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经济类型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  址</w:t>
            </w:r>
          </w:p>
        </w:tc>
        <w:tc>
          <w:tcPr>
            <w:tcW w:w="705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      话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开</w:t>
            </w:r>
            <w:r>
              <w:rPr>
                <w:rFonts w:hint="default" w:ascii="Times New Roman" w:hAnsi="Times New Roman" w:eastAsia="仿宋_GB2312"/>
                <w:spacing w:val="20"/>
                <w:sz w:val="24"/>
              </w:rPr>
              <w:t>采主矿</w:t>
            </w:r>
            <w:r>
              <w:rPr>
                <w:rFonts w:hint="default" w:ascii="Times New Roman" w:hAnsi="Times New Roman" w:eastAsia="仿宋_GB2312"/>
                <w:sz w:val="24"/>
              </w:rPr>
              <w:t>种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共伴生矿种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生 产 规 模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总资源量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开 采 方 式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所在行政区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原采矿权有效期限</w:t>
            </w:r>
          </w:p>
        </w:tc>
        <w:tc>
          <w:tcPr>
            <w:tcW w:w="576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采矿权取得方式</w:t>
            </w:r>
          </w:p>
        </w:tc>
        <w:tc>
          <w:tcPr>
            <w:tcW w:w="21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9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勘查许可证号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矿业权出让收益（价款）处置方式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3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应缴纳采矿权出让收益（价款）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  <w:jc w:val="center"/>
        </w:trPr>
        <w:tc>
          <w:tcPr>
            <w:tcW w:w="8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更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型</w:t>
            </w:r>
          </w:p>
        </w:tc>
        <w:tc>
          <w:tcPr>
            <w:tcW w:w="33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□扩大矿区范围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□缩小矿区范围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□变更开采主矿种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□变更开采方式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□变更采矿权人名称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□采矿权转让变更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□其他采矿权变更事项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更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容</w:t>
            </w:r>
          </w:p>
        </w:tc>
        <w:tc>
          <w:tcPr>
            <w:tcW w:w="415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3" w:hRule="atLeast"/>
          <w:jc w:val="center"/>
        </w:trPr>
        <w:tc>
          <w:tcPr>
            <w:tcW w:w="8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更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原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因</w:t>
            </w:r>
          </w:p>
        </w:tc>
        <w:tc>
          <w:tcPr>
            <w:tcW w:w="822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</w:tbl>
    <w:p>
      <w:pPr>
        <w:tabs>
          <w:tab w:val="left" w:pos="3540"/>
        </w:tabs>
        <w:spacing w:line="20" w:lineRule="exact"/>
        <w:rPr>
          <w:rFonts w:hint="default"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/>
          <w:sz w:val="24"/>
        </w:rPr>
        <w:br w:type="page"/>
      </w:r>
    </w:p>
    <w:tbl>
      <w:tblPr>
        <w:tblStyle w:val="4"/>
        <w:tblW w:w="90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864"/>
        <w:gridCol w:w="43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保有资源储量</w:t>
            </w:r>
          </w:p>
        </w:tc>
        <w:tc>
          <w:tcPr>
            <w:tcW w:w="820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矿山地质环境保护与土地复垦</w:t>
            </w:r>
          </w:p>
        </w:tc>
        <w:tc>
          <w:tcPr>
            <w:tcW w:w="820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备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</w:t>
            </w:r>
          </w:p>
        </w:tc>
        <w:tc>
          <w:tcPr>
            <w:tcW w:w="820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4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矿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区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范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围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图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及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坐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标</w:t>
            </w:r>
          </w:p>
        </w:tc>
        <w:tc>
          <w:tcPr>
            <w:tcW w:w="8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开采深度：         米  至          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38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矿区面积：         平方公里</w:t>
            </w:r>
          </w:p>
        </w:tc>
        <w:tc>
          <w:tcPr>
            <w:tcW w:w="43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采矿权使用费：      元/年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损毁土地面积：         平方公里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2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复垦土地面积：         平方公里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2CA7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2023-05-23T07:44:32Z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AD06A69A4F0C4A539CBD9F8305E743BA_12</vt:lpwstr>
  </property>
</Properties>
</file>